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A7D" w:rsidRPr="00720A7D" w:rsidRDefault="008C2CEC" w:rsidP="00720A7D">
      <w:pPr>
        <w:shd w:val="clear" w:color="auto" w:fill="FFFFFF"/>
        <w:spacing w:after="0" w:line="435" w:lineRule="atLeast"/>
        <w:jc w:val="both"/>
        <w:textAlignment w:val="baseline"/>
        <w:rPr>
          <w:rFonts w:ascii="David" w:eastAsia="Times New Roman" w:hAnsi="David" w:cs="David" w:hint="cs"/>
          <w:b/>
          <w:bCs/>
          <w:color w:val="000000"/>
          <w:sz w:val="24"/>
          <w:szCs w:val="24"/>
          <w:u w:val="double"/>
          <w:rtl/>
        </w:rPr>
      </w:pPr>
      <w:r>
        <w:rPr>
          <w:rFonts w:ascii="David" w:eastAsia="Times New Roman" w:hAnsi="David" w:cs="David" w:hint="cs"/>
          <w:b/>
          <w:bCs/>
          <w:color w:val="000000"/>
          <w:sz w:val="24"/>
          <w:szCs w:val="24"/>
          <w:u w:val="double"/>
          <w:rtl/>
        </w:rPr>
        <w:t>מדריך ל</w:t>
      </w:r>
      <w:bookmarkStart w:id="0" w:name="_GoBack"/>
      <w:bookmarkEnd w:id="0"/>
      <w:r w:rsidR="00720A7D" w:rsidRPr="00720A7D">
        <w:rPr>
          <w:rFonts w:ascii="David" w:eastAsia="Times New Roman" w:hAnsi="David" w:cs="David"/>
          <w:b/>
          <w:bCs/>
          <w:color w:val="000000"/>
          <w:sz w:val="24"/>
          <w:szCs w:val="24"/>
          <w:u w:val="double"/>
          <w:rtl/>
        </w:rPr>
        <w:t>הוצאת צו ירושה</w:t>
      </w:r>
    </w:p>
    <w:p w:rsidR="00720A7D" w:rsidRPr="00720A7D" w:rsidRDefault="00720A7D" w:rsidP="00720A7D">
      <w:pPr>
        <w:shd w:val="clear" w:color="auto" w:fill="FFFFFF"/>
        <w:spacing w:after="0" w:line="435" w:lineRule="atLeast"/>
        <w:jc w:val="both"/>
        <w:textAlignment w:val="baseline"/>
        <w:rPr>
          <w:rFonts w:ascii="David" w:eastAsia="Times New Roman" w:hAnsi="David" w:cs="David"/>
          <w:color w:val="000000"/>
          <w:sz w:val="24"/>
          <w:szCs w:val="24"/>
          <w:rtl/>
        </w:rPr>
      </w:pPr>
      <w:r w:rsidRPr="00720A7D">
        <w:rPr>
          <w:rFonts w:ascii="David" w:eastAsia="Times New Roman" w:hAnsi="David" w:cs="David"/>
          <w:color w:val="000000"/>
          <w:sz w:val="24"/>
          <w:szCs w:val="24"/>
          <w:rtl/>
        </w:rPr>
        <w:t>כאשר המנוח לא השאיר אחריו צוואה</w:t>
      </w:r>
      <w:r>
        <w:rPr>
          <w:rFonts w:ascii="David" w:eastAsia="Times New Roman" w:hAnsi="David" w:cs="David" w:hint="cs"/>
          <w:color w:val="000000"/>
          <w:sz w:val="24"/>
          <w:szCs w:val="24"/>
          <w:rtl/>
        </w:rPr>
        <w:t>,</w:t>
      </w:r>
      <w:r w:rsidRPr="00720A7D">
        <w:rPr>
          <w:rFonts w:ascii="David" w:eastAsia="Times New Roman" w:hAnsi="David" w:cs="David"/>
          <w:color w:val="000000"/>
          <w:sz w:val="24"/>
          <w:szCs w:val="24"/>
          <w:rtl/>
        </w:rPr>
        <w:t xml:space="preserve"> יש להגיש בקשה לצו ירושה על פי דין, בהתאם להוראות החוק ייקבעו מי יורש את המנוח ומה חלקו בעיזבון.</w:t>
      </w:r>
    </w:p>
    <w:p w:rsidR="00720A7D" w:rsidRDefault="00720A7D" w:rsidP="00720A7D">
      <w:pPr>
        <w:shd w:val="clear" w:color="auto" w:fill="FFFFFF"/>
        <w:spacing w:after="0" w:line="435" w:lineRule="atLeast"/>
        <w:jc w:val="both"/>
        <w:textAlignment w:val="baseline"/>
        <w:rPr>
          <w:rFonts w:ascii="David" w:eastAsia="Times New Roman" w:hAnsi="David" w:cs="David"/>
          <w:color w:val="000000"/>
          <w:sz w:val="24"/>
          <w:szCs w:val="24"/>
          <w:rtl/>
        </w:rPr>
      </w:pPr>
      <w:r w:rsidRPr="00720A7D">
        <w:rPr>
          <w:rFonts w:ascii="David" w:eastAsia="Times New Roman" w:hAnsi="David" w:cs="David"/>
          <w:color w:val="000000"/>
          <w:sz w:val="24"/>
          <w:szCs w:val="24"/>
          <w:rtl/>
        </w:rPr>
        <w:t>את הבקשה לצו ירושה צריך להגיש אחד היורשים של העיזבון. הבקשה תוגש אל הרשם לענייני ירושה בתל אביב, בחיפה, בנצרת, ירושלים או באר שבע, בהתאם למקום מגוריו של הנפטר ותטופל בכפוף לתשלום אגרות. ניתן להגיש את הבקשה למתן קבלת הצו גם לבית דין דתי</w:t>
      </w:r>
      <w:r w:rsidR="00EB7BB9">
        <w:rPr>
          <w:rFonts w:ascii="David" w:eastAsia="Times New Roman" w:hAnsi="David" w:cs="David" w:hint="cs"/>
          <w:color w:val="000000"/>
          <w:sz w:val="24"/>
          <w:szCs w:val="24"/>
          <w:rtl/>
        </w:rPr>
        <w:t>.</w:t>
      </w:r>
    </w:p>
    <w:p w:rsidR="00AE3ED5" w:rsidRDefault="00AE3ED5" w:rsidP="00720A7D">
      <w:pPr>
        <w:shd w:val="clear" w:color="auto" w:fill="FFFFFF"/>
        <w:spacing w:after="0" w:line="435" w:lineRule="atLeast"/>
        <w:jc w:val="both"/>
        <w:textAlignment w:val="baseline"/>
        <w:rPr>
          <w:rFonts w:ascii="David" w:eastAsia="Times New Roman" w:hAnsi="David" w:cs="David"/>
          <w:color w:val="000000"/>
          <w:sz w:val="24"/>
          <w:szCs w:val="24"/>
          <w:rtl/>
        </w:rPr>
      </w:pPr>
    </w:p>
    <w:p w:rsidR="00AE3ED5" w:rsidRDefault="00AE3ED5" w:rsidP="00720A7D">
      <w:pPr>
        <w:shd w:val="clear" w:color="auto" w:fill="FFFFFF"/>
        <w:spacing w:after="0" w:line="435" w:lineRule="atLeast"/>
        <w:jc w:val="both"/>
        <w:textAlignment w:val="baseline"/>
        <w:rPr>
          <w:rFonts w:ascii="David" w:eastAsia="Times New Roman" w:hAnsi="David" w:cs="David"/>
          <w:color w:val="000000"/>
          <w:sz w:val="24"/>
          <w:szCs w:val="24"/>
          <w:rtl/>
        </w:rPr>
      </w:pPr>
      <w:r>
        <w:rPr>
          <w:rFonts w:ascii="David" w:eastAsia="Times New Roman" w:hAnsi="David" w:cs="David" w:hint="cs"/>
          <w:color w:val="000000"/>
          <w:sz w:val="24"/>
          <w:szCs w:val="24"/>
          <w:rtl/>
        </w:rPr>
        <w:t>ניתן לאתר את המחוז בלינק הבא:</w:t>
      </w:r>
    </w:p>
    <w:p w:rsidR="00AE3ED5" w:rsidRPr="00AE3ED5" w:rsidRDefault="004672C4" w:rsidP="00720A7D">
      <w:pPr>
        <w:shd w:val="clear" w:color="auto" w:fill="FFFFFF"/>
        <w:spacing w:after="0" w:line="435" w:lineRule="atLeast"/>
        <w:jc w:val="both"/>
        <w:textAlignment w:val="baseline"/>
        <w:rPr>
          <w:rFonts w:ascii="David" w:eastAsia="Times New Roman" w:hAnsi="David" w:cs="David"/>
          <w:color w:val="000000"/>
          <w:sz w:val="24"/>
          <w:szCs w:val="24"/>
          <w:rtl/>
        </w:rPr>
      </w:pPr>
      <w:hyperlink r:id="rId7" w:history="1">
        <w:r w:rsidR="00AE3ED5">
          <w:rPr>
            <w:rStyle w:val="Hyperlink"/>
          </w:rPr>
          <w:t>https://www.justice.gov.il/Units/ApotroposKlali/Pages/default.aspx</w:t>
        </w:r>
      </w:hyperlink>
    </w:p>
    <w:p w:rsidR="00EB7BB9" w:rsidRDefault="00EB7BB9" w:rsidP="00720A7D">
      <w:pPr>
        <w:shd w:val="clear" w:color="auto" w:fill="FFFFFF"/>
        <w:spacing w:after="0" w:line="435" w:lineRule="atLeast"/>
        <w:jc w:val="both"/>
        <w:textAlignment w:val="baseline"/>
        <w:rPr>
          <w:rFonts w:ascii="David" w:eastAsia="Times New Roman" w:hAnsi="David" w:cs="David"/>
          <w:color w:val="000000"/>
          <w:sz w:val="24"/>
          <w:szCs w:val="24"/>
          <w:rtl/>
        </w:rPr>
      </w:pPr>
    </w:p>
    <w:p w:rsidR="00EB7BB9" w:rsidRDefault="00EB7BB9" w:rsidP="00EB7BB9">
      <w:pPr>
        <w:jc w:val="both"/>
        <w:rPr>
          <w:rFonts w:ascii="David" w:hAnsi="David" w:cs="David"/>
          <w:sz w:val="24"/>
          <w:szCs w:val="24"/>
          <w:rtl/>
        </w:rPr>
      </w:pPr>
      <w:r>
        <w:rPr>
          <w:rFonts w:ascii="David" w:hAnsi="David" w:cs="David" w:hint="cs"/>
          <w:sz w:val="24"/>
          <w:szCs w:val="24"/>
          <w:rtl/>
        </w:rPr>
        <w:t>יש להגיש:</w:t>
      </w:r>
    </w:p>
    <w:p w:rsidR="00EB7BB9" w:rsidRPr="00B027D7" w:rsidRDefault="00EB7BB9" w:rsidP="00EB7BB9">
      <w:pPr>
        <w:pStyle w:val="a5"/>
        <w:numPr>
          <w:ilvl w:val="0"/>
          <w:numId w:val="1"/>
        </w:numPr>
        <w:rPr>
          <w:rFonts w:ascii="David" w:hAnsi="David" w:cs="David"/>
          <w:sz w:val="24"/>
          <w:szCs w:val="24"/>
          <w:rtl/>
        </w:rPr>
      </w:pPr>
      <w:r w:rsidRPr="00B027D7">
        <w:rPr>
          <w:rFonts w:ascii="David" w:hAnsi="David" w:cs="David"/>
          <w:sz w:val="24"/>
          <w:szCs w:val="24"/>
          <w:rtl/>
        </w:rPr>
        <w:t>בקשה לצו ירושה הכוללת תצהיר המאומת על-ידי עורך-דין (בקשה בטופס מקוון או בקשה בטופס ידני).</w:t>
      </w:r>
    </w:p>
    <w:p w:rsidR="00EB7BB9" w:rsidRPr="00B027D7" w:rsidRDefault="00EB7BB9" w:rsidP="00EB7BB9">
      <w:pPr>
        <w:pStyle w:val="a5"/>
        <w:numPr>
          <w:ilvl w:val="0"/>
          <w:numId w:val="1"/>
        </w:numPr>
        <w:rPr>
          <w:rFonts w:ascii="David" w:hAnsi="David" w:cs="David"/>
          <w:sz w:val="24"/>
          <w:szCs w:val="24"/>
          <w:rtl/>
        </w:rPr>
      </w:pPr>
      <w:r w:rsidRPr="00B027D7">
        <w:rPr>
          <w:rFonts w:ascii="David" w:hAnsi="David" w:cs="David"/>
          <w:sz w:val="24"/>
          <w:szCs w:val="24"/>
          <w:rtl/>
        </w:rPr>
        <w:t>תעודת פטירה או בקשה להוכחת מוות של המוריש או המורישה.</w:t>
      </w:r>
    </w:p>
    <w:p w:rsidR="00EB7BB9" w:rsidRPr="00B027D7" w:rsidRDefault="00EB7BB9" w:rsidP="00EB7BB9">
      <w:pPr>
        <w:pStyle w:val="a5"/>
        <w:numPr>
          <w:ilvl w:val="0"/>
          <w:numId w:val="1"/>
        </w:numPr>
        <w:rPr>
          <w:rFonts w:ascii="David" w:hAnsi="David" w:cs="David"/>
          <w:sz w:val="24"/>
          <w:szCs w:val="24"/>
          <w:rtl/>
        </w:rPr>
      </w:pPr>
      <w:r w:rsidRPr="00B027D7">
        <w:rPr>
          <w:rFonts w:ascii="David" w:hAnsi="David" w:cs="David"/>
          <w:sz w:val="24"/>
          <w:szCs w:val="24"/>
          <w:rtl/>
        </w:rPr>
        <w:t>אישור על משלוח הודעה בדבר הגשת הבקשה בדואר רשום ליורשים או אישור על כך שהמבקש הודיע באופן אישי ליורשים אודות הגשת הבקשה.</w:t>
      </w:r>
    </w:p>
    <w:p w:rsidR="00EB7BB9" w:rsidRPr="00B027D7" w:rsidRDefault="00EB7BB9" w:rsidP="00EB7BB9">
      <w:pPr>
        <w:pStyle w:val="a5"/>
        <w:numPr>
          <w:ilvl w:val="0"/>
          <w:numId w:val="1"/>
        </w:numPr>
        <w:rPr>
          <w:rFonts w:ascii="David" w:hAnsi="David" w:cs="David"/>
          <w:sz w:val="24"/>
          <w:szCs w:val="24"/>
          <w:rtl/>
        </w:rPr>
      </w:pPr>
      <w:r w:rsidRPr="00B027D7">
        <w:rPr>
          <w:rFonts w:ascii="David" w:hAnsi="David" w:cs="David"/>
          <w:sz w:val="24"/>
          <w:szCs w:val="24"/>
          <w:rtl/>
        </w:rPr>
        <w:t>ייפוי כוח, אם המבקש מיוצג על-ידי עורך-דין.</w:t>
      </w:r>
    </w:p>
    <w:p w:rsidR="00EB7BB9" w:rsidRPr="00B027D7" w:rsidRDefault="00EB7BB9" w:rsidP="00EB7BB9">
      <w:pPr>
        <w:pStyle w:val="a5"/>
        <w:numPr>
          <w:ilvl w:val="0"/>
          <w:numId w:val="1"/>
        </w:numPr>
        <w:rPr>
          <w:rFonts w:ascii="David" w:hAnsi="David" w:cs="David"/>
          <w:sz w:val="24"/>
          <w:szCs w:val="24"/>
          <w:rtl/>
        </w:rPr>
      </w:pPr>
      <w:r w:rsidRPr="00B027D7">
        <w:rPr>
          <w:rFonts w:ascii="David" w:hAnsi="David" w:cs="David"/>
          <w:sz w:val="24"/>
          <w:szCs w:val="24"/>
          <w:rtl/>
        </w:rPr>
        <w:t>אישור על תשלום אגרה ודמי פרסום.</w:t>
      </w:r>
    </w:p>
    <w:p w:rsidR="00EB7BB9" w:rsidRPr="00B027D7" w:rsidRDefault="00EB7BB9" w:rsidP="00EB7BB9">
      <w:pPr>
        <w:pStyle w:val="a5"/>
        <w:numPr>
          <w:ilvl w:val="0"/>
          <w:numId w:val="1"/>
        </w:numPr>
        <w:jc w:val="both"/>
        <w:rPr>
          <w:rFonts w:ascii="David" w:hAnsi="David" w:cs="David"/>
          <w:sz w:val="24"/>
          <w:szCs w:val="24"/>
          <w:rtl/>
        </w:rPr>
      </w:pPr>
      <w:r w:rsidRPr="00B027D7">
        <w:rPr>
          <w:rFonts w:ascii="David" w:hAnsi="David" w:cs="David"/>
          <w:sz w:val="24"/>
          <w:szCs w:val="24"/>
          <w:rtl/>
        </w:rPr>
        <w:t>במידה ואחד מהיורשים מוותר על חלקו בעיזבון, יש לצרף העתק "תצהיר הסתלקות" חתום על-ידי המסתלקים (המוותרים על חלקם בעיזבון) ומאומת כדין על-ידי עורך-דין.</w:t>
      </w:r>
    </w:p>
    <w:p w:rsidR="00B03FE4" w:rsidRDefault="00720A7D" w:rsidP="00720A7D">
      <w:pPr>
        <w:pStyle w:val="NormalWeb"/>
        <w:shd w:val="clear" w:color="auto" w:fill="FFFFFF"/>
        <w:bidi/>
        <w:spacing w:before="0" w:beforeAutospacing="0" w:after="0" w:afterAutospacing="0" w:line="435" w:lineRule="atLeast"/>
        <w:jc w:val="both"/>
        <w:textAlignment w:val="baseline"/>
        <w:rPr>
          <w:rFonts w:ascii="David" w:hAnsi="David" w:cs="David"/>
          <w:color w:val="000000"/>
          <w:rtl/>
        </w:rPr>
      </w:pPr>
      <w:r w:rsidRPr="00720A7D">
        <w:rPr>
          <w:rFonts w:ascii="David" w:hAnsi="David" w:cs="David"/>
          <w:color w:val="000000"/>
          <w:rtl/>
        </w:rPr>
        <w:t>הבקשה לקבלת הצו תפורסם ב</w:t>
      </w:r>
      <w:r w:rsidR="00B03FE4">
        <w:rPr>
          <w:rFonts w:ascii="David" w:hAnsi="David" w:cs="David" w:hint="cs"/>
          <w:color w:val="000000"/>
          <w:rtl/>
        </w:rPr>
        <w:t>עיתונות</w:t>
      </w:r>
      <w:r w:rsidRPr="00720A7D">
        <w:rPr>
          <w:rFonts w:ascii="David" w:hAnsi="David" w:cs="David"/>
          <w:color w:val="000000"/>
          <w:rtl/>
        </w:rPr>
        <w:t>,</w:t>
      </w:r>
      <w:r w:rsidR="00B03FE4">
        <w:rPr>
          <w:rFonts w:ascii="David" w:hAnsi="David" w:cs="David" w:hint="cs"/>
          <w:color w:val="000000"/>
          <w:rtl/>
        </w:rPr>
        <w:t xml:space="preserve"> וזאת על מנת לאפשר</w:t>
      </w:r>
      <w:r w:rsidRPr="00720A7D">
        <w:rPr>
          <w:rFonts w:ascii="David" w:hAnsi="David" w:cs="David"/>
          <w:color w:val="000000"/>
          <w:rtl/>
        </w:rPr>
        <w:t xml:space="preserve"> הגשת התנגדויות למתן הצו. </w:t>
      </w:r>
      <w:r w:rsidR="00B03FE4">
        <w:rPr>
          <w:rFonts w:ascii="David" w:hAnsi="David" w:cs="David" w:hint="cs"/>
          <w:color w:val="000000"/>
          <w:rtl/>
        </w:rPr>
        <w:t xml:space="preserve">במידה ותוגש התנגדות </w:t>
      </w:r>
      <w:r w:rsidRPr="00720A7D">
        <w:rPr>
          <w:rFonts w:ascii="David" w:hAnsi="David" w:cs="David"/>
          <w:color w:val="000000"/>
        </w:rPr>
        <w:t xml:space="preserve"> </w:t>
      </w:r>
      <w:r w:rsidRPr="00720A7D">
        <w:rPr>
          <w:rFonts w:ascii="David" w:hAnsi="David" w:cs="David"/>
          <w:color w:val="000000"/>
          <w:rtl/>
        </w:rPr>
        <w:t xml:space="preserve">יועבר התיק לדיון בבית המשפט לענייני משפחה, אשר ידון ויקבע אם יש מקום ליתן צו ירושה ואם לאו. </w:t>
      </w:r>
    </w:p>
    <w:p w:rsidR="00720A7D" w:rsidRPr="00720A7D" w:rsidRDefault="00B03FE4" w:rsidP="00720A7D">
      <w:pPr>
        <w:pStyle w:val="NormalWeb"/>
        <w:shd w:val="clear" w:color="auto" w:fill="FFFFFF"/>
        <w:bidi/>
        <w:spacing w:before="0" w:beforeAutospacing="0" w:after="0" w:afterAutospacing="0" w:line="435" w:lineRule="atLeast"/>
        <w:jc w:val="both"/>
        <w:textAlignment w:val="baseline"/>
        <w:rPr>
          <w:rFonts w:ascii="David" w:hAnsi="David" w:cs="David"/>
          <w:color w:val="000000"/>
        </w:rPr>
      </w:pPr>
      <w:r>
        <w:rPr>
          <w:rFonts w:ascii="David" w:hAnsi="David" w:cs="David" w:hint="cs"/>
          <w:color w:val="000000"/>
          <w:rtl/>
        </w:rPr>
        <w:t xml:space="preserve">בנוסף, </w:t>
      </w:r>
      <w:r w:rsidR="00720A7D" w:rsidRPr="00720A7D">
        <w:rPr>
          <w:rFonts w:ascii="David" w:hAnsi="David" w:cs="David"/>
          <w:color w:val="000000"/>
          <w:rtl/>
        </w:rPr>
        <w:t xml:space="preserve">היועץ המשפטי לממשלה, באמצעות באי כוחו אצל האפוטרופוס הכללי, </w:t>
      </w:r>
      <w:r>
        <w:rPr>
          <w:rFonts w:ascii="David" w:hAnsi="David" w:cs="David" w:hint="cs"/>
          <w:color w:val="000000"/>
          <w:rtl/>
        </w:rPr>
        <w:t>י</w:t>
      </w:r>
      <w:r w:rsidR="00720A7D" w:rsidRPr="00720A7D">
        <w:rPr>
          <w:rFonts w:ascii="David" w:hAnsi="David" w:cs="David"/>
          <w:color w:val="000000"/>
          <w:rtl/>
        </w:rPr>
        <w:t>ביע את עמדת</w:t>
      </w:r>
      <w:r>
        <w:rPr>
          <w:rFonts w:ascii="David" w:hAnsi="David" w:cs="David" w:hint="cs"/>
          <w:color w:val="000000"/>
          <w:rtl/>
        </w:rPr>
        <w:t>ו</w:t>
      </w:r>
      <w:r w:rsidR="00720A7D" w:rsidRPr="00720A7D">
        <w:rPr>
          <w:rFonts w:ascii="David" w:hAnsi="David" w:cs="David"/>
          <w:color w:val="000000"/>
          <w:rtl/>
        </w:rPr>
        <w:t xml:space="preserve"> ביחס לבקשה</w:t>
      </w:r>
      <w:r>
        <w:rPr>
          <w:rFonts w:ascii="David" w:hAnsi="David" w:cs="David" w:hint="cs"/>
          <w:color w:val="000000"/>
          <w:rtl/>
        </w:rPr>
        <w:t xml:space="preserve"> לצו ירושה</w:t>
      </w:r>
      <w:r w:rsidR="00720A7D" w:rsidRPr="00720A7D">
        <w:rPr>
          <w:rFonts w:ascii="David" w:hAnsi="David" w:cs="David"/>
          <w:color w:val="000000"/>
          <w:rtl/>
        </w:rPr>
        <w:t>. ככל שאין מניעה לאישור הבקשה, ולא הוגשה כל התנגדות למתן הצו, יורה הרשם לענייני ירושה (או בית הדין הדתי אליו הוגשה הבקשה) על הוצאתו, כמבוקש</w:t>
      </w:r>
      <w:r w:rsidR="00720A7D" w:rsidRPr="00720A7D">
        <w:rPr>
          <w:rFonts w:ascii="David" w:hAnsi="David" w:cs="David"/>
          <w:color w:val="000000"/>
        </w:rPr>
        <w:t>.</w:t>
      </w:r>
    </w:p>
    <w:p w:rsidR="00B03FE4" w:rsidRDefault="00B03FE4" w:rsidP="00B03FE4">
      <w:pPr>
        <w:pStyle w:val="NormalWeb"/>
        <w:shd w:val="clear" w:color="auto" w:fill="FFFFFF"/>
        <w:bidi/>
        <w:spacing w:before="0" w:beforeAutospacing="0" w:after="0" w:afterAutospacing="0" w:line="435" w:lineRule="atLeast"/>
        <w:jc w:val="both"/>
        <w:textAlignment w:val="baseline"/>
        <w:rPr>
          <w:rFonts w:ascii="OpenSansHebrewRegular" w:hAnsi="OpenSansHebrewRegular"/>
          <w:color w:val="000000"/>
          <w:sz w:val="27"/>
          <w:szCs w:val="27"/>
          <w:rtl/>
        </w:rPr>
      </w:pPr>
    </w:p>
    <w:p w:rsidR="00B03FE4" w:rsidRPr="00B03FE4" w:rsidRDefault="00B03FE4" w:rsidP="00B03FE4">
      <w:pPr>
        <w:pStyle w:val="NormalWeb"/>
        <w:shd w:val="clear" w:color="auto" w:fill="FFFFFF"/>
        <w:bidi/>
        <w:spacing w:before="0" w:beforeAutospacing="0" w:after="0" w:afterAutospacing="0" w:line="435" w:lineRule="atLeast"/>
        <w:jc w:val="both"/>
        <w:textAlignment w:val="baseline"/>
        <w:rPr>
          <w:rFonts w:ascii="David" w:hAnsi="David" w:cs="David"/>
          <w:color w:val="000000"/>
          <w:rtl/>
        </w:rPr>
      </w:pPr>
      <w:r w:rsidRPr="00B03FE4">
        <w:rPr>
          <w:rFonts w:ascii="David" w:hAnsi="David" w:cs="David" w:hint="cs"/>
          <w:color w:val="000000"/>
          <w:rtl/>
        </w:rPr>
        <w:t>טופס בקשה לצו ירושה:</w:t>
      </w:r>
    </w:p>
    <w:p w:rsidR="00B03FE4" w:rsidRDefault="00B03FE4" w:rsidP="00B03FE4">
      <w:pPr>
        <w:pStyle w:val="NormalWeb"/>
        <w:shd w:val="clear" w:color="auto" w:fill="FFFFFF"/>
        <w:bidi/>
        <w:spacing w:before="0" w:beforeAutospacing="0" w:after="0" w:afterAutospacing="0" w:line="435" w:lineRule="atLeast"/>
        <w:jc w:val="both"/>
        <w:textAlignment w:val="baseline"/>
        <w:rPr>
          <w:rFonts w:ascii="OpenSansHebrewRegular" w:hAnsi="OpenSansHebrewRegular"/>
          <w:color w:val="000000"/>
          <w:sz w:val="27"/>
          <w:szCs w:val="27"/>
          <w:rtl/>
        </w:rPr>
      </w:pPr>
    </w:p>
    <w:p w:rsidR="00B03FE4" w:rsidRDefault="004672C4" w:rsidP="00B03FE4">
      <w:pPr>
        <w:pStyle w:val="NormalWeb"/>
        <w:shd w:val="clear" w:color="auto" w:fill="FFFFFF"/>
        <w:bidi/>
        <w:spacing w:before="0" w:beforeAutospacing="0" w:after="0" w:afterAutospacing="0" w:line="435" w:lineRule="atLeast"/>
        <w:jc w:val="both"/>
        <w:textAlignment w:val="baseline"/>
        <w:rPr>
          <w:rFonts w:ascii="OpenSansHebrewRegular" w:hAnsi="OpenSansHebrewRegular"/>
          <w:color w:val="000000"/>
          <w:sz w:val="27"/>
          <w:szCs w:val="27"/>
        </w:rPr>
      </w:pPr>
      <w:hyperlink r:id="rId8" w:history="1">
        <w:r w:rsidR="00B03FE4">
          <w:rPr>
            <w:rStyle w:val="Hyperlink"/>
          </w:rPr>
          <w:t>https://www.justice.gov.il/Units/ApotroposKlali/maindocs/bakashatzavyerusa.pdf</w:t>
        </w:r>
      </w:hyperlink>
    </w:p>
    <w:p w:rsidR="00720A7D" w:rsidRDefault="00720A7D" w:rsidP="00720A7D">
      <w:pPr>
        <w:jc w:val="both"/>
        <w:rPr>
          <w:rtl/>
        </w:rPr>
      </w:pPr>
    </w:p>
    <w:p w:rsidR="00782CB2" w:rsidRDefault="00782CB2" w:rsidP="00C07EE0">
      <w:pPr>
        <w:pBdr>
          <w:bottom w:val="single" w:sz="12" w:space="10" w:color="auto"/>
        </w:pBdr>
        <w:spacing w:line="360" w:lineRule="auto"/>
        <w:jc w:val="both"/>
        <w:rPr>
          <w:rStyle w:val="Hyperlink"/>
          <w:rtl/>
        </w:rPr>
      </w:pPr>
    </w:p>
    <w:p w:rsidR="003945B6" w:rsidRDefault="003945B6" w:rsidP="00C07EE0">
      <w:pPr>
        <w:pBdr>
          <w:bottom w:val="single" w:sz="12" w:space="10" w:color="auto"/>
        </w:pBdr>
        <w:spacing w:line="360" w:lineRule="auto"/>
        <w:jc w:val="both"/>
        <w:rPr>
          <w:rStyle w:val="Hyperlink"/>
          <w:rtl/>
        </w:rPr>
      </w:pPr>
    </w:p>
    <w:sectPr w:rsidR="003945B6" w:rsidSect="00DF1DB1">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2C4" w:rsidRDefault="004672C4" w:rsidP="00782CB2">
      <w:pPr>
        <w:spacing w:after="0" w:line="240" w:lineRule="auto"/>
      </w:pPr>
      <w:r>
        <w:separator/>
      </w:r>
    </w:p>
  </w:endnote>
  <w:endnote w:type="continuationSeparator" w:id="0">
    <w:p w:rsidR="004672C4" w:rsidRDefault="004672C4" w:rsidP="0078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OpenSansHebrewRegular">
    <w:altName w:val="Cambria"/>
    <w:panose1 w:val="00000000000000000000"/>
    <w:charset w:val="00"/>
    <w:family w:val="roman"/>
    <w:notTrueType/>
    <w:pitch w:val="default"/>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CB2" w:rsidRPr="00782CB2" w:rsidRDefault="00782CB2" w:rsidP="00782CB2">
    <w:pPr>
      <w:tabs>
        <w:tab w:val="center" w:pos="4153"/>
        <w:tab w:val="right" w:pos="8306"/>
      </w:tabs>
      <w:spacing w:after="0" w:line="240" w:lineRule="auto"/>
      <w:jc w:val="center"/>
      <w:rPr>
        <w:rFonts w:ascii="Narkisim" w:eastAsia="Calibri" w:hAnsi="Narkisim" w:cs="Narkisim"/>
        <w:sz w:val="24"/>
        <w:szCs w:val="24"/>
        <w:rtl/>
      </w:rPr>
    </w:pPr>
    <w:r w:rsidRPr="00782CB2">
      <w:rPr>
        <w:rFonts w:ascii="Narkisim" w:eastAsia="Calibri" w:hAnsi="Narkisim" w:cs="Narkisim"/>
        <w:sz w:val="24"/>
        <w:szCs w:val="24"/>
        <w:rtl/>
      </w:rPr>
      <w:t>רחוב זכרון יעקב 26/19, פתח תקווה 4972813</w:t>
    </w:r>
  </w:p>
  <w:p w:rsidR="00782CB2" w:rsidRPr="00782CB2" w:rsidRDefault="00782CB2" w:rsidP="00782CB2">
    <w:pPr>
      <w:tabs>
        <w:tab w:val="center" w:pos="4153"/>
        <w:tab w:val="right" w:pos="8306"/>
      </w:tabs>
      <w:spacing w:after="0" w:line="240" w:lineRule="auto"/>
      <w:jc w:val="center"/>
      <w:rPr>
        <w:rFonts w:ascii="Narkisim" w:eastAsia="Calibri" w:hAnsi="Narkisim" w:cs="Narkisim"/>
        <w:sz w:val="24"/>
        <w:szCs w:val="24"/>
      </w:rPr>
    </w:pPr>
    <w:r w:rsidRPr="00782CB2">
      <w:rPr>
        <w:rFonts w:ascii="Narkisim" w:eastAsia="Calibri" w:hAnsi="Narkisim" w:cs="Narkisim"/>
        <w:sz w:val="24"/>
        <w:szCs w:val="24"/>
        <w:rtl/>
      </w:rPr>
      <w:t xml:space="preserve">נייד : 054-2082212  | מייל: </w:t>
    </w:r>
    <w:hyperlink r:id="rId1" w:history="1">
      <w:r w:rsidRPr="00782CB2">
        <w:rPr>
          <w:rFonts w:ascii="Narkisim" w:eastAsia="Calibri" w:hAnsi="Narkisim" w:cs="Narkisim"/>
          <w:color w:val="0563C1"/>
          <w:u w:val="single"/>
        </w:rPr>
        <w:t>eti@etilaw.com</w:t>
      </w:r>
    </w:hyperlink>
    <w:r w:rsidRPr="00782CB2">
      <w:rPr>
        <w:rFonts w:ascii="Narkisim" w:eastAsia="Calibri" w:hAnsi="Narkisim" w:cs="Narkisim"/>
        <w:sz w:val="24"/>
        <w:szCs w:val="24"/>
      </w:rPr>
      <w:t xml:space="preserve"> </w:t>
    </w:r>
    <w:r w:rsidRPr="00782CB2">
      <w:rPr>
        <w:rFonts w:ascii="Narkisim" w:eastAsia="Calibri" w:hAnsi="Narkisim" w:cs="Narkisim"/>
        <w:sz w:val="24"/>
        <w:szCs w:val="24"/>
        <w:rtl/>
      </w:rPr>
      <w:t xml:space="preserve"> </w:t>
    </w:r>
    <w:r w:rsidRPr="00782CB2">
      <w:rPr>
        <w:rFonts w:ascii="Narkisim" w:eastAsia="Calibri" w:hAnsi="Narkisim" w:cs="Narkisim"/>
        <w:sz w:val="24"/>
        <w:szCs w:val="24"/>
      </w:rPr>
      <w:t>|</w:t>
    </w:r>
    <w:r w:rsidRPr="00782CB2">
      <w:rPr>
        <w:rFonts w:ascii="Narkisim" w:eastAsia="Calibri" w:hAnsi="Narkisim" w:cs="Narkisim"/>
        <w:sz w:val="24"/>
        <w:szCs w:val="24"/>
        <w:rtl/>
      </w:rPr>
      <w:t xml:space="preserve"> פקס: 077-5558543</w:t>
    </w:r>
  </w:p>
  <w:p w:rsidR="00782CB2" w:rsidRPr="00782CB2" w:rsidRDefault="00782C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2C4" w:rsidRDefault="004672C4" w:rsidP="00782CB2">
      <w:pPr>
        <w:spacing w:after="0" w:line="240" w:lineRule="auto"/>
      </w:pPr>
      <w:r>
        <w:separator/>
      </w:r>
    </w:p>
  </w:footnote>
  <w:footnote w:type="continuationSeparator" w:id="0">
    <w:p w:rsidR="004672C4" w:rsidRDefault="004672C4" w:rsidP="00782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CB2" w:rsidRDefault="00782CB2">
    <w:pPr>
      <w:pStyle w:val="a6"/>
    </w:pPr>
    <w:r>
      <w:rPr>
        <w:noProof/>
      </w:rPr>
      <w:drawing>
        <wp:inline distT="0" distB="0" distL="0" distR="0" wp14:anchorId="793B489E">
          <wp:extent cx="3767455" cy="640080"/>
          <wp:effectExtent l="0" t="0" r="4445"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45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97F84"/>
    <w:multiLevelType w:val="hybridMultilevel"/>
    <w:tmpl w:val="3168D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C002C"/>
    <w:multiLevelType w:val="hybridMultilevel"/>
    <w:tmpl w:val="844CE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30AC7"/>
    <w:multiLevelType w:val="hybridMultilevel"/>
    <w:tmpl w:val="99F4C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7D"/>
    <w:rsid w:val="0023045A"/>
    <w:rsid w:val="003945B6"/>
    <w:rsid w:val="004672C4"/>
    <w:rsid w:val="00554366"/>
    <w:rsid w:val="00720A7D"/>
    <w:rsid w:val="00782CB2"/>
    <w:rsid w:val="007E24A0"/>
    <w:rsid w:val="008C2CEC"/>
    <w:rsid w:val="00942C8C"/>
    <w:rsid w:val="009A2837"/>
    <w:rsid w:val="00AE3ED5"/>
    <w:rsid w:val="00B03FE4"/>
    <w:rsid w:val="00C07EE0"/>
    <w:rsid w:val="00DA47E7"/>
    <w:rsid w:val="00DF12AE"/>
    <w:rsid w:val="00DF1DB1"/>
    <w:rsid w:val="00E379A1"/>
    <w:rsid w:val="00EB7B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E6672"/>
  <w15:chartTrackingRefBased/>
  <w15:docId w15:val="{C604D4AE-7C51-4F6B-952A-D9CC270C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paragraph" w:styleId="2">
    <w:name w:val="heading 2"/>
    <w:basedOn w:val="a"/>
    <w:link w:val="20"/>
    <w:uiPriority w:val="9"/>
    <w:qFormat/>
    <w:rsid w:val="00720A7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720A7D"/>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720A7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20A7D"/>
    <w:rPr>
      <w:color w:val="0000FF"/>
      <w:u w:val="single"/>
    </w:rPr>
  </w:style>
  <w:style w:type="character" w:styleId="a3">
    <w:name w:val="Strong"/>
    <w:basedOn w:val="a0"/>
    <w:uiPriority w:val="22"/>
    <w:qFormat/>
    <w:rsid w:val="00720A7D"/>
    <w:rPr>
      <w:b/>
      <w:bCs/>
    </w:rPr>
  </w:style>
  <w:style w:type="character" w:styleId="a4">
    <w:name w:val="Emphasis"/>
    <w:basedOn w:val="a0"/>
    <w:uiPriority w:val="20"/>
    <w:qFormat/>
    <w:rsid w:val="00720A7D"/>
    <w:rPr>
      <w:i/>
      <w:iCs/>
    </w:rPr>
  </w:style>
  <w:style w:type="paragraph" w:styleId="a5">
    <w:name w:val="List Paragraph"/>
    <w:basedOn w:val="a"/>
    <w:uiPriority w:val="34"/>
    <w:qFormat/>
    <w:rsid w:val="00EB7BB9"/>
    <w:pPr>
      <w:ind w:left="720"/>
      <w:contextualSpacing/>
    </w:pPr>
  </w:style>
  <w:style w:type="paragraph" w:styleId="a6">
    <w:name w:val="header"/>
    <w:basedOn w:val="a"/>
    <w:link w:val="a7"/>
    <w:uiPriority w:val="99"/>
    <w:unhideWhenUsed/>
    <w:rsid w:val="00782CB2"/>
    <w:pPr>
      <w:tabs>
        <w:tab w:val="center" w:pos="4153"/>
        <w:tab w:val="right" w:pos="8306"/>
      </w:tabs>
      <w:spacing w:after="0" w:line="240" w:lineRule="auto"/>
    </w:pPr>
  </w:style>
  <w:style w:type="character" w:customStyle="1" w:styleId="a7">
    <w:name w:val="כותרת עליונה תו"/>
    <w:basedOn w:val="a0"/>
    <w:link w:val="a6"/>
    <w:uiPriority w:val="99"/>
    <w:rsid w:val="00782CB2"/>
  </w:style>
  <w:style w:type="paragraph" w:styleId="a8">
    <w:name w:val="footer"/>
    <w:basedOn w:val="a"/>
    <w:link w:val="a9"/>
    <w:uiPriority w:val="99"/>
    <w:unhideWhenUsed/>
    <w:rsid w:val="00782CB2"/>
    <w:pPr>
      <w:tabs>
        <w:tab w:val="center" w:pos="4153"/>
        <w:tab w:val="right" w:pos="8306"/>
      </w:tabs>
      <w:spacing w:after="0" w:line="240" w:lineRule="auto"/>
    </w:pPr>
  </w:style>
  <w:style w:type="character" w:customStyle="1" w:styleId="a9">
    <w:name w:val="כותרת תחתונה תו"/>
    <w:basedOn w:val="a0"/>
    <w:link w:val="a8"/>
    <w:uiPriority w:val="99"/>
    <w:rsid w:val="00782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5386">
      <w:bodyDiv w:val="1"/>
      <w:marLeft w:val="0"/>
      <w:marRight w:val="0"/>
      <w:marTop w:val="0"/>
      <w:marBottom w:val="0"/>
      <w:divBdr>
        <w:top w:val="none" w:sz="0" w:space="0" w:color="auto"/>
        <w:left w:val="none" w:sz="0" w:space="0" w:color="auto"/>
        <w:bottom w:val="none" w:sz="0" w:space="0" w:color="auto"/>
        <w:right w:val="none" w:sz="0" w:space="0" w:color="auto"/>
      </w:divBdr>
    </w:div>
    <w:div w:id="236474349">
      <w:bodyDiv w:val="1"/>
      <w:marLeft w:val="0"/>
      <w:marRight w:val="0"/>
      <w:marTop w:val="0"/>
      <w:marBottom w:val="0"/>
      <w:divBdr>
        <w:top w:val="none" w:sz="0" w:space="0" w:color="auto"/>
        <w:left w:val="none" w:sz="0" w:space="0" w:color="auto"/>
        <w:bottom w:val="none" w:sz="0" w:space="0" w:color="auto"/>
        <w:right w:val="none" w:sz="0" w:space="0" w:color="auto"/>
      </w:divBdr>
    </w:div>
    <w:div w:id="542063244">
      <w:bodyDiv w:val="1"/>
      <w:marLeft w:val="0"/>
      <w:marRight w:val="0"/>
      <w:marTop w:val="0"/>
      <w:marBottom w:val="0"/>
      <w:divBdr>
        <w:top w:val="none" w:sz="0" w:space="0" w:color="auto"/>
        <w:left w:val="none" w:sz="0" w:space="0" w:color="auto"/>
        <w:bottom w:val="none" w:sz="0" w:space="0" w:color="auto"/>
        <w:right w:val="none" w:sz="0" w:space="0" w:color="auto"/>
      </w:divBdr>
    </w:div>
    <w:div w:id="6528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il/Units/ApotroposKlali/maindocs/bakashatzavyerusa.pdf" TargetMode="External"/><Relationship Id="rId3" Type="http://schemas.openxmlformats.org/officeDocument/2006/relationships/settings" Target="settings.xml"/><Relationship Id="rId7" Type="http://schemas.openxmlformats.org/officeDocument/2006/relationships/hyperlink" Target="https://www.justice.gov.il/Units/ApotroposKlali/Pages/defaul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ti@etila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1418</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Eti2</dc:creator>
  <cp:keywords/>
  <dc:description/>
  <cp:lastModifiedBy>Eti2</cp:lastModifiedBy>
  <cp:revision>3</cp:revision>
  <dcterms:created xsi:type="dcterms:W3CDTF">2019-10-20T09:50:00Z</dcterms:created>
  <dcterms:modified xsi:type="dcterms:W3CDTF">2019-10-20T09:50:00Z</dcterms:modified>
</cp:coreProperties>
</file>